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F2" w:rsidRDefault="00091A58" w:rsidP="00091A58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EXCELENTÍSSIMO SENHOR DOUTOR JUIZ DE </w:t>
      </w:r>
      <w:r w:rsidR="009831AC">
        <w:rPr>
          <w:rFonts w:ascii="Cambria" w:hAnsi="Cambria"/>
          <w:sz w:val="24"/>
          <w:szCs w:val="24"/>
        </w:rPr>
        <w:t>DIREITO DA 1ª VARA DA FAZENDA PÚ</w:t>
      </w:r>
      <w:r>
        <w:rPr>
          <w:rFonts w:ascii="Cambria" w:hAnsi="Cambria"/>
          <w:sz w:val="24"/>
          <w:szCs w:val="24"/>
        </w:rPr>
        <w:t>BLICA DA COMARCA DE CAMPINA GRANDE-PB</w:t>
      </w:r>
    </w:p>
    <w:p w:rsidR="00091A58" w:rsidRDefault="00091A58" w:rsidP="00091A58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Proc. nº 0810756-77.2019.8.15.0001</w:t>
      </w:r>
    </w:p>
    <w:p w:rsidR="009831AC" w:rsidRDefault="009831AC" w:rsidP="00091A5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9831AC" w:rsidRDefault="009831AC" w:rsidP="00091A5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9831AC" w:rsidRDefault="009831AC" w:rsidP="00091A5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210FDF" w:rsidRDefault="00210FDF" w:rsidP="00091A5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210FDF" w:rsidRDefault="00210FDF" w:rsidP="00091A5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A45985" w:rsidRDefault="00A45985" w:rsidP="00091A5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A45985" w:rsidRDefault="00A45985" w:rsidP="00091A5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2C6736" w:rsidRDefault="002C6736" w:rsidP="00091A5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2C6736" w:rsidRDefault="002C6736" w:rsidP="00091A5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9831AC" w:rsidRDefault="009831AC" w:rsidP="00091A5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9831AC" w:rsidRDefault="009831AC" w:rsidP="009831AC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D544C9" w:rsidRPr="00D544C9" w:rsidRDefault="009831AC" w:rsidP="009831AC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 w:rsidRPr="00D544C9">
        <w:rPr>
          <w:rFonts w:ascii="Cambria" w:hAnsi="Cambria"/>
          <w:b/>
          <w:sz w:val="24"/>
          <w:szCs w:val="24"/>
        </w:rPr>
        <w:t>EGL ENGENHARIA LTDA.</w:t>
      </w:r>
      <w:r w:rsidRPr="00D544C9">
        <w:rPr>
          <w:rFonts w:ascii="Cambria" w:hAnsi="Cambria"/>
          <w:sz w:val="24"/>
          <w:szCs w:val="24"/>
        </w:rPr>
        <w:t>, já devidamente qualificada na presente ação, que litiga contra PREFEITURA MUNICIPAL DE CAMPINA GRANDE-PB, vem, através de seu advogado</w:t>
      </w:r>
      <w:r w:rsidR="00D544C9" w:rsidRPr="00D544C9">
        <w:rPr>
          <w:rFonts w:ascii="Cambria" w:hAnsi="Cambria"/>
          <w:sz w:val="24"/>
          <w:szCs w:val="24"/>
        </w:rPr>
        <w:t>, requerer:</w:t>
      </w:r>
    </w:p>
    <w:p w:rsidR="009831AC" w:rsidRPr="00771826" w:rsidRDefault="001E187D" w:rsidP="00D544C9">
      <w:pPr>
        <w:spacing w:line="360" w:lineRule="auto"/>
        <w:ind w:firstLine="851"/>
        <w:jc w:val="center"/>
        <w:rPr>
          <w:rFonts w:ascii="Cambria" w:hAnsi="Cambria"/>
          <w:b/>
          <w:sz w:val="24"/>
          <w:szCs w:val="24"/>
          <w:u w:val="single"/>
        </w:rPr>
      </w:pPr>
      <w:r w:rsidRPr="00771826">
        <w:rPr>
          <w:rFonts w:ascii="Cambria" w:hAnsi="Cambria"/>
          <w:b/>
          <w:sz w:val="24"/>
          <w:szCs w:val="24"/>
          <w:u w:val="single"/>
        </w:rPr>
        <w:t xml:space="preserve">TUTELA </w:t>
      </w:r>
      <w:r w:rsidR="00D544C9" w:rsidRPr="00771826">
        <w:rPr>
          <w:rFonts w:ascii="Cambria" w:hAnsi="Cambria"/>
          <w:b/>
          <w:sz w:val="24"/>
          <w:szCs w:val="24"/>
          <w:u w:val="single"/>
        </w:rPr>
        <w:t>PROVISÓRIA CAUTELAR DE</w:t>
      </w:r>
      <w:r w:rsidRPr="00771826">
        <w:rPr>
          <w:rFonts w:ascii="Cambria" w:hAnsi="Cambria"/>
          <w:b/>
          <w:sz w:val="24"/>
          <w:szCs w:val="24"/>
          <w:u w:val="single"/>
        </w:rPr>
        <w:t xml:space="preserve"> O BLOQUEIO DAS CONTAS DO MUNICÍPIO E REPASSES FEDERAIS.</w:t>
      </w:r>
    </w:p>
    <w:p w:rsidR="00D544C9" w:rsidRPr="00D544C9" w:rsidRDefault="00D544C9" w:rsidP="00D544C9">
      <w:pPr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771826">
        <w:rPr>
          <w:rFonts w:ascii="Cambria" w:hAnsi="Cambria"/>
          <w:sz w:val="24"/>
          <w:szCs w:val="24"/>
        </w:rPr>
        <w:t>com</w:t>
      </w:r>
      <w:proofErr w:type="gramEnd"/>
      <w:r w:rsidRPr="00771826">
        <w:rPr>
          <w:rFonts w:ascii="Cambria" w:hAnsi="Cambria"/>
          <w:sz w:val="24"/>
          <w:szCs w:val="24"/>
        </w:rPr>
        <w:t xml:space="preserve"> base nos fundamento</w:t>
      </w:r>
      <w:r w:rsidR="00771826" w:rsidRPr="00771826">
        <w:rPr>
          <w:rFonts w:ascii="Cambria" w:hAnsi="Cambria"/>
          <w:sz w:val="24"/>
          <w:szCs w:val="24"/>
        </w:rPr>
        <w:t>s</w:t>
      </w:r>
      <w:r w:rsidRPr="00771826">
        <w:rPr>
          <w:rFonts w:ascii="Cambria" w:hAnsi="Cambria"/>
          <w:sz w:val="24"/>
          <w:szCs w:val="24"/>
        </w:rPr>
        <w:t xml:space="preserve"> de</w:t>
      </w:r>
      <w:r>
        <w:rPr>
          <w:rFonts w:ascii="Cambria" w:hAnsi="Cambria"/>
          <w:sz w:val="24"/>
          <w:szCs w:val="24"/>
        </w:rPr>
        <w:t xml:space="preserve"> fato e de direito a seguir aduzidos.</w:t>
      </w:r>
    </w:p>
    <w:p w:rsidR="00A45985" w:rsidRDefault="00A45985" w:rsidP="009831AC">
      <w:pPr>
        <w:spacing w:line="360" w:lineRule="auto"/>
        <w:ind w:firstLine="851"/>
        <w:jc w:val="both"/>
        <w:rPr>
          <w:rFonts w:ascii="Cambria" w:hAnsi="Cambria"/>
          <w:sz w:val="24"/>
          <w:szCs w:val="24"/>
          <w:u w:val="single"/>
        </w:rPr>
      </w:pPr>
    </w:p>
    <w:p w:rsidR="002C6736" w:rsidRDefault="002C6736" w:rsidP="00A45985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4B5475" w:rsidRDefault="00A45985" w:rsidP="004B5475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I – </w:t>
      </w:r>
      <w:r w:rsidR="00D544C9">
        <w:rPr>
          <w:rFonts w:ascii="Cambria" w:hAnsi="Cambria"/>
          <w:b/>
          <w:sz w:val="24"/>
          <w:szCs w:val="24"/>
        </w:rPr>
        <w:t xml:space="preserve">DA </w:t>
      </w:r>
      <w:r w:rsidR="00F97923">
        <w:rPr>
          <w:rFonts w:ascii="Cambria" w:hAnsi="Cambria"/>
          <w:b/>
          <w:sz w:val="24"/>
          <w:szCs w:val="24"/>
        </w:rPr>
        <w:t xml:space="preserve">CAÓTICA </w:t>
      </w:r>
      <w:r w:rsidR="00D544C9">
        <w:rPr>
          <w:rFonts w:ascii="Cambria" w:hAnsi="Cambria"/>
          <w:b/>
          <w:sz w:val="24"/>
          <w:szCs w:val="24"/>
        </w:rPr>
        <w:t xml:space="preserve">SITUAÇÃO DE INADIMPLÊNCIA </w:t>
      </w:r>
      <w:r w:rsidR="00771826">
        <w:rPr>
          <w:rFonts w:ascii="Cambria" w:hAnsi="Cambria"/>
          <w:b/>
          <w:sz w:val="24"/>
          <w:szCs w:val="24"/>
        </w:rPr>
        <w:t>DO MUN</w:t>
      </w:r>
      <w:r w:rsidR="004B5475">
        <w:rPr>
          <w:rFonts w:ascii="Cambria" w:hAnsi="Cambria"/>
          <w:b/>
          <w:sz w:val="24"/>
          <w:szCs w:val="24"/>
        </w:rPr>
        <w:t>I</w:t>
      </w:r>
      <w:r w:rsidR="00771826">
        <w:rPr>
          <w:rFonts w:ascii="Cambria" w:hAnsi="Cambria"/>
          <w:b/>
          <w:sz w:val="24"/>
          <w:szCs w:val="24"/>
        </w:rPr>
        <w:t xml:space="preserve">CÍPIO DE CAMPINA GRANDE-PB </w:t>
      </w:r>
      <w:r w:rsidR="008D7CC0">
        <w:rPr>
          <w:rFonts w:ascii="Cambria" w:hAnsi="Cambria"/>
          <w:b/>
          <w:sz w:val="24"/>
          <w:szCs w:val="24"/>
        </w:rPr>
        <w:t xml:space="preserve">– </w:t>
      </w:r>
      <w:r w:rsidR="002D29AD">
        <w:rPr>
          <w:rFonts w:ascii="Cambria" w:hAnsi="Cambria"/>
          <w:b/>
          <w:sz w:val="24"/>
          <w:szCs w:val="24"/>
        </w:rPr>
        <w:t xml:space="preserve">DESCUMPRIMENTO DE </w:t>
      </w:r>
      <w:bookmarkStart w:id="0" w:name="_GoBack"/>
      <w:bookmarkEnd w:id="0"/>
      <w:r w:rsidR="008D7CC0">
        <w:rPr>
          <w:rFonts w:ascii="Cambria" w:hAnsi="Cambria"/>
          <w:b/>
          <w:sz w:val="24"/>
          <w:szCs w:val="24"/>
        </w:rPr>
        <w:t>TERMO DE COMPROMISSO– CONFISSÃO DE DÍVIDA</w:t>
      </w:r>
    </w:p>
    <w:p w:rsidR="004B5475" w:rsidRDefault="00610515" w:rsidP="004B5475">
      <w:pPr>
        <w:spacing w:line="36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Primeiramente</w:t>
      </w:r>
      <w:r w:rsidR="00C976C1">
        <w:rPr>
          <w:rFonts w:ascii="Cambria" w:hAnsi="Cambria"/>
          <w:sz w:val="24"/>
          <w:szCs w:val="24"/>
        </w:rPr>
        <w:t>,</w:t>
      </w:r>
      <w:r w:rsidR="004B5475">
        <w:rPr>
          <w:rFonts w:ascii="Cambria" w:hAnsi="Cambria"/>
          <w:sz w:val="24"/>
          <w:szCs w:val="24"/>
        </w:rPr>
        <w:t xml:space="preserve"> c</w:t>
      </w:r>
      <w:r w:rsidR="004B5475" w:rsidRPr="0058144D">
        <w:rPr>
          <w:rFonts w:ascii="Cambria" w:hAnsi="Cambria"/>
          <w:sz w:val="24"/>
          <w:szCs w:val="24"/>
        </w:rPr>
        <w:t>umpre menci</w:t>
      </w:r>
      <w:r w:rsidR="004B5475">
        <w:rPr>
          <w:rFonts w:ascii="Cambria" w:hAnsi="Cambria"/>
          <w:sz w:val="24"/>
          <w:szCs w:val="24"/>
        </w:rPr>
        <w:t>o</w:t>
      </w:r>
      <w:r w:rsidR="004B5475" w:rsidRPr="0058144D">
        <w:rPr>
          <w:rFonts w:ascii="Cambria" w:hAnsi="Cambria"/>
          <w:sz w:val="24"/>
          <w:szCs w:val="24"/>
        </w:rPr>
        <w:t xml:space="preserve">nar </w:t>
      </w:r>
      <w:r w:rsidR="004B5475">
        <w:rPr>
          <w:rFonts w:ascii="Cambria" w:hAnsi="Cambria"/>
          <w:sz w:val="24"/>
          <w:szCs w:val="24"/>
        </w:rPr>
        <w:t>que, além do débito objeto da presente ação</w:t>
      </w:r>
      <w:r w:rsidR="004B5475" w:rsidRPr="0058144D">
        <w:rPr>
          <w:rFonts w:ascii="Cambria" w:hAnsi="Cambria"/>
          <w:sz w:val="24"/>
          <w:szCs w:val="24"/>
        </w:rPr>
        <w:t>, a dev</w:t>
      </w:r>
      <w:r w:rsidR="00E679BE">
        <w:rPr>
          <w:rFonts w:ascii="Cambria" w:hAnsi="Cambria"/>
          <w:sz w:val="24"/>
          <w:szCs w:val="24"/>
        </w:rPr>
        <w:t>edora tem vários outras dívidas</w:t>
      </w:r>
      <w:r w:rsidR="004B5475" w:rsidRPr="0058144D">
        <w:rPr>
          <w:rFonts w:ascii="Cambria" w:hAnsi="Cambria"/>
          <w:sz w:val="24"/>
          <w:szCs w:val="24"/>
        </w:rPr>
        <w:t>,</w:t>
      </w:r>
      <w:r w:rsidR="004B5475">
        <w:rPr>
          <w:rFonts w:ascii="Cambria" w:hAnsi="Cambria"/>
          <w:sz w:val="24"/>
          <w:szCs w:val="24"/>
        </w:rPr>
        <w:t xml:space="preserve"> o que acarretou em uma caótica situação de inadimplência do município.</w:t>
      </w:r>
    </w:p>
    <w:p w:rsidR="004B5475" w:rsidRDefault="004B5475" w:rsidP="004B5475">
      <w:pPr>
        <w:spacing w:line="360" w:lineRule="auto"/>
        <w:ind w:firstLine="709"/>
        <w:jc w:val="both"/>
        <w:rPr>
          <w:rFonts w:ascii="Cambria" w:hAnsi="Cambria"/>
          <w:sz w:val="24"/>
          <w:szCs w:val="24"/>
        </w:rPr>
      </w:pPr>
      <w:r w:rsidRPr="0058144D">
        <w:rPr>
          <w:rFonts w:ascii="Cambria" w:hAnsi="Cambria"/>
          <w:sz w:val="24"/>
          <w:szCs w:val="24"/>
        </w:rPr>
        <w:t xml:space="preserve">Na verdade, é fato notório há um bom tempo </w:t>
      </w:r>
      <w:r>
        <w:rPr>
          <w:rFonts w:ascii="Cambria" w:hAnsi="Cambria"/>
          <w:sz w:val="24"/>
          <w:szCs w:val="24"/>
        </w:rPr>
        <w:t>a parte ré vem honrando com apenas alguns dos contratos firmados, o que causa bastante estranheza</w:t>
      </w:r>
      <w:r w:rsidRPr="00E679BE">
        <w:rPr>
          <w:rFonts w:ascii="Cambria" w:hAnsi="Cambria"/>
          <w:sz w:val="24"/>
          <w:szCs w:val="24"/>
        </w:rPr>
        <w:t>, já que</w:t>
      </w:r>
      <w:r w:rsidR="00E679BE">
        <w:rPr>
          <w:rFonts w:ascii="Cambria" w:hAnsi="Cambria"/>
          <w:sz w:val="24"/>
          <w:szCs w:val="24"/>
        </w:rPr>
        <w:t xml:space="preserve"> há rumores de que</w:t>
      </w:r>
      <w:r w:rsidR="00850E44" w:rsidRPr="00E679BE">
        <w:rPr>
          <w:rFonts w:ascii="Cambria" w:hAnsi="Cambria"/>
          <w:sz w:val="24"/>
          <w:szCs w:val="24"/>
        </w:rPr>
        <w:t xml:space="preserve"> até mesmo os</w:t>
      </w:r>
      <w:r w:rsidRPr="00E679BE">
        <w:rPr>
          <w:rFonts w:ascii="Cambria" w:hAnsi="Cambria"/>
          <w:sz w:val="24"/>
          <w:szCs w:val="24"/>
        </w:rPr>
        <w:t xml:space="preserve"> trabalhadores </w:t>
      </w:r>
      <w:r w:rsidR="00850E44" w:rsidRPr="00E679BE">
        <w:rPr>
          <w:rFonts w:ascii="Cambria" w:hAnsi="Cambria"/>
          <w:sz w:val="24"/>
          <w:szCs w:val="24"/>
        </w:rPr>
        <w:t>terceirizados não estão sendo pagos pelos</w:t>
      </w:r>
      <w:r w:rsidR="00850E44">
        <w:rPr>
          <w:rFonts w:ascii="Cambria" w:hAnsi="Cambria"/>
          <w:sz w:val="24"/>
          <w:szCs w:val="24"/>
        </w:rPr>
        <w:t xml:space="preserve"> serviços prestados.</w:t>
      </w:r>
    </w:p>
    <w:p w:rsidR="00850E44" w:rsidRDefault="00326623" w:rsidP="004B5475">
      <w:pPr>
        <w:spacing w:line="36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Vale destacar que o contrato</w:t>
      </w:r>
      <w:r w:rsidR="00850E44">
        <w:rPr>
          <w:rFonts w:ascii="Cambria" w:hAnsi="Cambria"/>
          <w:sz w:val="24"/>
          <w:szCs w:val="24"/>
        </w:rPr>
        <w:t xml:space="preserve"> entre a requerida e o requerente não foi firmado recentemente. Há, inclusive, um termo de compromisso, assinado ainda em 2014, em que a parte ré confessa as pendências financeiras referentes aos contratos administrativos.</w:t>
      </w:r>
      <w:r>
        <w:rPr>
          <w:rFonts w:ascii="Cambria" w:hAnsi="Cambria"/>
          <w:sz w:val="24"/>
          <w:szCs w:val="24"/>
        </w:rPr>
        <w:t xml:space="preserve"> Ou seja,</w:t>
      </w:r>
      <w:r w:rsidR="00D43F7D">
        <w:rPr>
          <w:rFonts w:ascii="Cambria" w:hAnsi="Cambria"/>
          <w:sz w:val="24"/>
          <w:szCs w:val="24"/>
        </w:rPr>
        <w:t xml:space="preserve"> tal fato é ainda mais grave, já que</w:t>
      </w:r>
      <w:r>
        <w:rPr>
          <w:rFonts w:ascii="Cambria" w:hAnsi="Cambria"/>
          <w:sz w:val="24"/>
          <w:szCs w:val="24"/>
        </w:rPr>
        <w:t xml:space="preserve"> não há dúvidas de que o Município de Campina Grande-PB está se esquivando de uma dívida confessa.</w:t>
      </w:r>
    </w:p>
    <w:p w:rsidR="00771826" w:rsidRPr="00850E44" w:rsidRDefault="00850E44" w:rsidP="00850E44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Portanto, há um grande temor de que o Município de Campina Grande-PB deixe de efetuar o pagamento da dívida em questão</w:t>
      </w:r>
      <w:r w:rsidR="0072010F">
        <w:rPr>
          <w:rFonts w:ascii="Cambria" w:hAnsi="Cambria"/>
          <w:sz w:val="24"/>
          <w:szCs w:val="24"/>
        </w:rPr>
        <w:t>, uma vez que a parte ré vem cumprindo apenas alguns dos contratos firmados.</w:t>
      </w:r>
    </w:p>
    <w:p w:rsidR="00771826" w:rsidRDefault="00771826" w:rsidP="00A45985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A45985" w:rsidRDefault="00771826" w:rsidP="00A45985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II – </w:t>
      </w:r>
      <w:r w:rsidR="00610144">
        <w:rPr>
          <w:rFonts w:ascii="Cambria" w:hAnsi="Cambria"/>
          <w:b/>
          <w:sz w:val="24"/>
          <w:szCs w:val="24"/>
        </w:rPr>
        <w:t xml:space="preserve">DA </w:t>
      </w:r>
      <w:r w:rsidR="00D544C9">
        <w:rPr>
          <w:rFonts w:ascii="Cambria" w:hAnsi="Cambria"/>
          <w:b/>
          <w:sz w:val="24"/>
          <w:szCs w:val="24"/>
        </w:rPr>
        <w:t>CONCESSÃO DE</w:t>
      </w:r>
      <w:r w:rsidR="00A45985">
        <w:rPr>
          <w:rFonts w:ascii="Cambria" w:hAnsi="Cambria"/>
          <w:b/>
          <w:sz w:val="24"/>
          <w:szCs w:val="24"/>
        </w:rPr>
        <w:t xml:space="preserve"> TUTELA PROVISÓRIA CAUTELAR – BLOQUEIO DE CONTAS DO MUNICÍPIO E REPASSES FEDERAIS</w:t>
      </w:r>
    </w:p>
    <w:p w:rsidR="009F49CA" w:rsidRDefault="009F49CA" w:rsidP="00276822">
      <w:pPr>
        <w:pStyle w:val="artigo"/>
        <w:spacing w:line="360" w:lineRule="auto"/>
        <w:ind w:firstLine="851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 processualista Daniel Amorim Assumpção Neves (NEVES, Daniel </w:t>
      </w:r>
      <w:r w:rsidR="00267836">
        <w:rPr>
          <w:rFonts w:ascii="Cambria" w:hAnsi="Cambria" w:cs="Arial"/>
          <w:color w:val="000000"/>
        </w:rPr>
        <w:t xml:space="preserve">Amorim Assumpção. Novo Código de Processo Civil Comentado/Daniel Amorim Assumpção Neves – Salvador: Ed. </w:t>
      </w:r>
      <w:proofErr w:type="spellStart"/>
      <w:r w:rsidR="00267836">
        <w:rPr>
          <w:rFonts w:ascii="Cambria" w:hAnsi="Cambria" w:cs="Arial"/>
          <w:color w:val="000000"/>
        </w:rPr>
        <w:t>JusPodivm</w:t>
      </w:r>
      <w:proofErr w:type="spellEnd"/>
      <w:r w:rsidR="00267836">
        <w:rPr>
          <w:rFonts w:ascii="Cambria" w:hAnsi="Cambria" w:cs="Arial"/>
          <w:color w:val="000000"/>
        </w:rPr>
        <w:t>, 2016, p. 462)</w:t>
      </w:r>
      <w:r>
        <w:rPr>
          <w:rFonts w:ascii="Cambria" w:hAnsi="Cambria" w:cs="Arial"/>
          <w:color w:val="000000"/>
        </w:rPr>
        <w:t>, ao distinguir a Tutela Provisória Cautelar da Tutela Provisória Antecipada, faz a seguinte afirmação</w:t>
      </w:r>
      <w:r w:rsidR="00267836">
        <w:rPr>
          <w:rFonts w:ascii="Cambria" w:hAnsi="Cambria" w:cs="Arial"/>
          <w:color w:val="000000"/>
        </w:rPr>
        <w:t>:</w:t>
      </w:r>
    </w:p>
    <w:p w:rsidR="00267836" w:rsidRPr="00C65B65" w:rsidRDefault="00267836" w:rsidP="00267836">
      <w:pPr>
        <w:pStyle w:val="artigo"/>
        <w:spacing w:line="276" w:lineRule="auto"/>
        <w:ind w:left="2268"/>
        <w:jc w:val="both"/>
        <w:rPr>
          <w:rFonts w:ascii="Cambria" w:hAnsi="Cambria" w:cs="Arial"/>
          <w:i/>
          <w:color w:val="000000"/>
        </w:rPr>
      </w:pPr>
      <w:r w:rsidRPr="00C65B65">
        <w:rPr>
          <w:rFonts w:ascii="Cambria" w:hAnsi="Cambria" w:cs="Arial"/>
          <w:i/>
          <w:color w:val="000000"/>
        </w:rPr>
        <w:lastRenderedPageBreak/>
        <w:t>“O objeto da tutela cautelar é garantir o resultado final do processo, mas essa garantia na realidade prepara e permite a futura satisfação do direito.”</w:t>
      </w:r>
    </w:p>
    <w:p w:rsidR="00FE7F53" w:rsidRPr="00C65B65" w:rsidRDefault="00267836" w:rsidP="00FE7F53">
      <w:pPr>
        <w:pStyle w:val="artigo"/>
        <w:spacing w:line="276" w:lineRule="auto"/>
        <w:ind w:left="2268"/>
        <w:jc w:val="center"/>
        <w:rPr>
          <w:rFonts w:ascii="Cambria" w:hAnsi="Cambria" w:cs="Arial"/>
          <w:i/>
          <w:color w:val="000000"/>
        </w:rPr>
      </w:pPr>
      <w:r w:rsidRPr="00C65B65">
        <w:rPr>
          <w:rFonts w:ascii="Cambria" w:hAnsi="Cambria" w:cs="Arial"/>
          <w:i/>
          <w:color w:val="000000"/>
        </w:rPr>
        <w:t>***</w:t>
      </w:r>
    </w:p>
    <w:p w:rsidR="007C1C54" w:rsidRDefault="00276822" w:rsidP="00276822">
      <w:pPr>
        <w:pStyle w:val="artigo"/>
        <w:spacing w:line="360" w:lineRule="auto"/>
        <w:ind w:firstLine="851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 Código de Processo Civil</w:t>
      </w:r>
      <w:r w:rsidR="00267836">
        <w:rPr>
          <w:rFonts w:ascii="Cambria" w:hAnsi="Cambria" w:cs="Arial"/>
          <w:color w:val="000000"/>
        </w:rPr>
        <w:t>, ao tratar do mesmo tema destaca:</w:t>
      </w:r>
    </w:p>
    <w:p w:rsidR="00A45985" w:rsidRPr="00C65B65" w:rsidRDefault="00A45985" w:rsidP="007C1C54">
      <w:pPr>
        <w:pStyle w:val="artigo"/>
        <w:ind w:left="2268"/>
        <w:jc w:val="both"/>
        <w:rPr>
          <w:rFonts w:ascii="Cambria" w:hAnsi="Cambria" w:cs="Arial"/>
          <w:i/>
          <w:color w:val="000000"/>
          <w:sz w:val="22"/>
          <w:szCs w:val="22"/>
        </w:rPr>
      </w:pPr>
      <w:r w:rsidRPr="00C65B65">
        <w:rPr>
          <w:rFonts w:ascii="Cambria" w:hAnsi="Cambria" w:cs="Arial"/>
          <w:i/>
          <w:color w:val="000000"/>
          <w:sz w:val="22"/>
          <w:szCs w:val="22"/>
        </w:rPr>
        <w:t>Art. 294. A tutela provisória pode fundamentar-se em urgência ou evidência.</w:t>
      </w:r>
    </w:p>
    <w:p w:rsidR="00A45985" w:rsidRPr="00C65B65" w:rsidRDefault="00A45985" w:rsidP="007C1C54">
      <w:pPr>
        <w:pStyle w:val="artigo"/>
        <w:ind w:left="2268"/>
        <w:jc w:val="both"/>
        <w:rPr>
          <w:rFonts w:ascii="Cambria" w:hAnsi="Cambria" w:cs="Arial"/>
          <w:i/>
          <w:color w:val="000000"/>
          <w:sz w:val="22"/>
          <w:szCs w:val="22"/>
        </w:rPr>
      </w:pPr>
      <w:bookmarkStart w:id="1" w:name="art294p"/>
      <w:bookmarkEnd w:id="1"/>
      <w:r w:rsidRPr="00C65B65">
        <w:rPr>
          <w:rFonts w:ascii="Cambria" w:hAnsi="Cambria" w:cs="Arial"/>
          <w:i/>
          <w:color w:val="000000"/>
          <w:sz w:val="22"/>
          <w:szCs w:val="22"/>
        </w:rPr>
        <w:t>Parágrafo único. A tutela provisória de urgência, cautelar ou antecipada, pode ser concedida em caráter antecedente ou incidental.</w:t>
      </w:r>
    </w:p>
    <w:p w:rsidR="007C1C54" w:rsidRPr="00C65B65" w:rsidRDefault="007C1C54" w:rsidP="007C1C54">
      <w:pPr>
        <w:pStyle w:val="artigo"/>
        <w:ind w:left="2268"/>
        <w:jc w:val="center"/>
        <w:rPr>
          <w:rFonts w:ascii="Cambria" w:hAnsi="Cambria" w:cs="Arial"/>
          <w:i/>
          <w:color w:val="000000"/>
          <w:sz w:val="22"/>
          <w:szCs w:val="22"/>
        </w:rPr>
      </w:pPr>
      <w:r w:rsidRPr="00C65B65">
        <w:rPr>
          <w:rFonts w:ascii="Cambria" w:hAnsi="Cambria" w:cs="Arial"/>
          <w:i/>
          <w:color w:val="000000"/>
          <w:sz w:val="22"/>
          <w:szCs w:val="22"/>
        </w:rPr>
        <w:t>***</w:t>
      </w:r>
    </w:p>
    <w:p w:rsidR="007C1C54" w:rsidRPr="00C65B65" w:rsidRDefault="007C1C54" w:rsidP="007C1C54">
      <w:pPr>
        <w:pStyle w:val="artigo"/>
        <w:ind w:left="2268"/>
        <w:jc w:val="both"/>
        <w:rPr>
          <w:rFonts w:ascii="Cambria" w:hAnsi="Cambria" w:cs="Arial"/>
          <w:i/>
          <w:color w:val="000000"/>
          <w:sz w:val="22"/>
          <w:szCs w:val="22"/>
        </w:rPr>
      </w:pPr>
      <w:r w:rsidRPr="00C65B65">
        <w:rPr>
          <w:rFonts w:ascii="Cambria" w:hAnsi="Cambria" w:cs="Arial"/>
          <w:i/>
          <w:color w:val="000000"/>
          <w:sz w:val="22"/>
          <w:szCs w:val="22"/>
        </w:rPr>
        <w:t>Art. 300. A tutela de urgência será concedida quando houver elementos que evidenciem a probabilidade do direito e o perigo de dano ou o risco ao resultado útil do processo.</w:t>
      </w:r>
    </w:p>
    <w:p w:rsidR="00210FDF" w:rsidRPr="00C65B65" w:rsidRDefault="007C1C54" w:rsidP="00210FDF">
      <w:pPr>
        <w:pStyle w:val="artigo"/>
        <w:ind w:left="2268"/>
        <w:jc w:val="center"/>
        <w:rPr>
          <w:rFonts w:ascii="Cambria" w:hAnsi="Cambria" w:cs="Arial"/>
          <w:i/>
          <w:color w:val="000000"/>
          <w:sz w:val="22"/>
          <w:szCs w:val="22"/>
        </w:rPr>
      </w:pPr>
      <w:r w:rsidRPr="00C65B65">
        <w:rPr>
          <w:rFonts w:ascii="Cambria" w:hAnsi="Cambria" w:cs="Arial"/>
          <w:i/>
          <w:color w:val="000000"/>
          <w:sz w:val="22"/>
          <w:szCs w:val="22"/>
        </w:rPr>
        <w:t>***</w:t>
      </w:r>
    </w:p>
    <w:p w:rsidR="00FE7F53" w:rsidRDefault="00FE7F53" w:rsidP="00744038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</w:p>
    <w:p w:rsidR="00A45985" w:rsidRDefault="002B748E" w:rsidP="00744038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Embora o valor da condenação seja</w:t>
      </w:r>
      <w:r w:rsidR="00850E44">
        <w:rPr>
          <w:rFonts w:ascii="Cambria" w:hAnsi="Cambria"/>
          <w:sz w:val="24"/>
          <w:szCs w:val="24"/>
        </w:rPr>
        <w:t xml:space="preserve"> definido </w:t>
      </w:r>
      <w:r>
        <w:rPr>
          <w:rFonts w:ascii="Cambria" w:hAnsi="Cambria"/>
          <w:sz w:val="24"/>
          <w:szCs w:val="24"/>
        </w:rPr>
        <w:t xml:space="preserve">apenas </w:t>
      </w:r>
      <w:r w:rsidR="00850E44">
        <w:rPr>
          <w:rFonts w:ascii="Cambria" w:hAnsi="Cambria"/>
          <w:sz w:val="24"/>
          <w:szCs w:val="24"/>
        </w:rPr>
        <w:t xml:space="preserve">em fase de liquidação de sentença, </w:t>
      </w:r>
      <w:r>
        <w:rPr>
          <w:rFonts w:ascii="Cambria" w:hAnsi="Cambria"/>
          <w:sz w:val="24"/>
          <w:szCs w:val="24"/>
        </w:rPr>
        <w:t xml:space="preserve">foi realizada uma análise prévia, através de um laudo pericial, sem o contraditório da parte contrária, para apurar aproximadamente tal quantia, </w:t>
      </w:r>
      <w:r w:rsidR="00926632" w:rsidRPr="0072010F">
        <w:rPr>
          <w:rFonts w:ascii="Cambria" w:hAnsi="Cambria"/>
          <w:sz w:val="24"/>
          <w:szCs w:val="24"/>
          <w:highlight w:val="yellow"/>
        </w:rPr>
        <w:t>como mostra o documento anexo.</w:t>
      </w:r>
    </w:p>
    <w:p w:rsidR="000471C7" w:rsidRDefault="000471C7" w:rsidP="00744038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Diante da caótica situação de inadimplência do município, há um grande temor instaurado entre os credores do município, já que a parte ré vem deixando de cumprir as principais obrigações financeira. Destaca-se que, em relação ao presente débito, há uma confissão de dívida, através de um termo de compromisso firmado entre as partes ainda em 2014.</w:t>
      </w:r>
    </w:p>
    <w:p w:rsidR="005C7580" w:rsidRDefault="005C7580" w:rsidP="005C7580">
      <w:pPr>
        <w:spacing w:line="276" w:lineRule="auto"/>
        <w:ind w:firstLine="851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000000"/>
          <w:sz w:val="24"/>
          <w:szCs w:val="24"/>
          <w:shd w:val="clear" w:color="auto" w:fill="FFFFFF"/>
        </w:rPr>
        <w:t>Ademais, deve-se observar o que está previsto no artigo 7º, §2º, III, da Lei nº 8.666, que institui normas para licitação e contratos da Administração Pública:</w:t>
      </w:r>
    </w:p>
    <w:p w:rsidR="00D1116A" w:rsidRPr="00D1116A" w:rsidRDefault="00D1116A" w:rsidP="00D1116A">
      <w:pPr>
        <w:spacing w:line="276" w:lineRule="auto"/>
        <w:ind w:left="2268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D1116A">
        <w:rPr>
          <w:rFonts w:ascii="Cambria" w:hAnsi="Cambria" w:cs="Arial"/>
          <w:color w:val="000000"/>
          <w:sz w:val="24"/>
          <w:szCs w:val="24"/>
          <w:shd w:val="clear" w:color="auto" w:fill="FFFFFF"/>
        </w:rPr>
        <w:lastRenderedPageBreak/>
        <w:t>Art. 7</w:t>
      </w:r>
      <w:r w:rsidRPr="00D1116A">
        <w:rPr>
          <w:rFonts w:ascii="Cambria" w:hAnsi="Cambria" w:cs="Arial"/>
          <w:color w:val="000000"/>
          <w:sz w:val="24"/>
          <w:szCs w:val="24"/>
          <w:u w:val="single"/>
          <w:shd w:val="clear" w:color="auto" w:fill="FFFFFF"/>
          <w:vertAlign w:val="superscript"/>
        </w:rPr>
        <w:t>o</w:t>
      </w:r>
      <w:r>
        <w:rPr>
          <w:rFonts w:ascii="Cambria" w:hAnsi="Cambria" w:cs="Arial"/>
          <w:color w:val="000000"/>
          <w:sz w:val="24"/>
          <w:szCs w:val="24"/>
          <w:shd w:val="clear" w:color="auto" w:fill="FFFFFF"/>
        </w:rPr>
        <w:t> </w:t>
      </w:r>
      <w:r w:rsidRPr="00D1116A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As licitações para a execução de obras e para a prestação de serviços obedecerão ao disposto neste artigo e, em particular, à seguinte </w:t>
      </w:r>
      <w:proofErr w:type="spellStart"/>
      <w:r w:rsidRPr="00D1116A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seqüência</w:t>
      </w:r>
      <w:proofErr w:type="spellEnd"/>
      <w:r w:rsidRPr="00D1116A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:</w:t>
      </w:r>
    </w:p>
    <w:p w:rsidR="00D1116A" w:rsidRPr="00D1116A" w:rsidRDefault="00D1116A" w:rsidP="00D1116A">
      <w:pPr>
        <w:pStyle w:val="NormalWeb"/>
        <w:spacing w:line="276" w:lineRule="auto"/>
        <w:ind w:left="2268"/>
        <w:jc w:val="both"/>
        <w:rPr>
          <w:rFonts w:ascii="Cambria" w:hAnsi="Cambria"/>
          <w:color w:val="000000"/>
        </w:rPr>
      </w:pPr>
      <w:r w:rsidRPr="00D1116A">
        <w:rPr>
          <w:rFonts w:ascii="Cambria" w:hAnsi="Cambria" w:cs="Arial"/>
          <w:color w:val="000000"/>
        </w:rPr>
        <w:t>§ 2</w:t>
      </w:r>
      <w:r w:rsidRPr="00D1116A">
        <w:rPr>
          <w:rFonts w:ascii="Cambria" w:hAnsi="Cambria" w:cs="Arial"/>
          <w:color w:val="000000"/>
          <w:u w:val="single"/>
          <w:vertAlign w:val="superscript"/>
        </w:rPr>
        <w:t>o</w:t>
      </w:r>
      <w:r>
        <w:rPr>
          <w:rFonts w:ascii="Cambria" w:hAnsi="Cambria" w:cs="Arial"/>
          <w:color w:val="000000"/>
        </w:rPr>
        <w:t> </w:t>
      </w:r>
      <w:r w:rsidRPr="00D1116A">
        <w:rPr>
          <w:rFonts w:ascii="Cambria" w:hAnsi="Cambria" w:cs="Arial"/>
          <w:color w:val="000000"/>
        </w:rPr>
        <w:t>As obras e os serviços somente poderão ser licitados quando:</w:t>
      </w:r>
    </w:p>
    <w:p w:rsidR="00D1116A" w:rsidRPr="00D1116A" w:rsidRDefault="00D1116A" w:rsidP="00D1116A">
      <w:pPr>
        <w:pStyle w:val="NormalWeb"/>
        <w:spacing w:line="276" w:lineRule="auto"/>
        <w:ind w:left="2268"/>
        <w:jc w:val="both"/>
        <w:rPr>
          <w:rFonts w:ascii="Cambria" w:hAnsi="Cambria"/>
          <w:color w:val="000000"/>
        </w:rPr>
      </w:pPr>
      <w:r w:rsidRPr="00D1116A">
        <w:rPr>
          <w:rFonts w:ascii="Cambria" w:hAnsi="Cambria" w:cs="Arial"/>
          <w:color w:val="000000"/>
        </w:rPr>
        <w:t>[...]</w:t>
      </w:r>
    </w:p>
    <w:p w:rsidR="00D1116A" w:rsidRDefault="00D1116A" w:rsidP="00D1116A">
      <w:pPr>
        <w:pStyle w:val="NormalWeb"/>
        <w:spacing w:line="276" w:lineRule="auto"/>
        <w:ind w:left="2268"/>
        <w:jc w:val="both"/>
        <w:rPr>
          <w:rFonts w:ascii="Cambria" w:hAnsi="Cambria" w:cs="Arial"/>
          <w:color w:val="000000"/>
        </w:rPr>
      </w:pPr>
      <w:r w:rsidRPr="00D1116A">
        <w:rPr>
          <w:rFonts w:ascii="Cambria" w:hAnsi="Cambria" w:cs="Arial"/>
          <w:color w:val="000000"/>
        </w:rPr>
        <w:t>III - houver previsão de recursos orçamentários que assegurem o pagamento das obrigações decorrentes de obras ou serviços a serem executadas no exercício financeiro em curso, de acordo com o respectivo cronograma;</w:t>
      </w:r>
    </w:p>
    <w:p w:rsidR="005C7580" w:rsidRPr="00D1116A" w:rsidRDefault="005C7580" w:rsidP="005C7580">
      <w:pPr>
        <w:pStyle w:val="NormalWeb"/>
        <w:spacing w:line="276" w:lineRule="auto"/>
        <w:ind w:left="2268"/>
        <w:jc w:val="center"/>
        <w:rPr>
          <w:rFonts w:ascii="Cambria" w:hAnsi="Cambria"/>
          <w:color w:val="000000"/>
        </w:rPr>
      </w:pPr>
      <w:r>
        <w:rPr>
          <w:rFonts w:ascii="Cambria" w:hAnsi="Cambria" w:cs="Arial"/>
          <w:color w:val="000000"/>
        </w:rPr>
        <w:t>***</w:t>
      </w:r>
    </w:p>
    <w:p w:rsidR="00D1116A" w:rsidRDefault="005C7580" w:rsidP="00744038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Ora, caso haja o bloqueio de contas da Prefeitura Municipal de Campina Grande-PB e repasses federais, como meio de garantir o cumprimento da obrigação em questão, o que é bastante viável, diante da ausência de pagamento de um dívida confessada, há grandes chances do Município ficar impedido de realizar licitações.</w:t>
      </w:r>
    </w:p>
    <w:p w:rsidR="00471CF5" w:rsidRDefault="000471C7" w:rsidP="00744038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Cumpre mencionar</w:t>
      </w:r>
      <w:r w:rsidR="0058144D">
        <w:rPr>
          <w:rFonts w:ascii="Cambria" w:hAnsi="Cambria"/>
          <w:sz w:val="24"/>
          <w:szCs w:val="24"/>
        </w:rPr>
        <w:t xml:space="preserve"> o fato de </w:t>
      </w:r>
      <w:r w:rsidR="00471CF5">
        <w:rPr>
          <w:rFonts w:ascii="Cambria" w:hAnsi="Cambria"/>
          <w:sz w:val="24"/>
          <w:szCs w:val="24"/>
        </w:rPr>
        <w:t xml:space="preserve">que o interesse público secundário visa o interesse patrimonial do Estado, </w:t>
      </w:r>
      <w:r w:rsidR="00AD5809">
        <w:rPr>
          <w:rFonts w:ascii="Cambria" w:hAnsi="Cambria"/>
          <w:sz w:val="24"/>
          <w:szCs w:val="24"/>
        </w:rPr>
        <w:t xml:space="preserve">e </w:t>
      </w:r>
      <w:r w:rsidR="00D32090">
        <w:rPr>
          <w:rFonts w:ascii="Cambria" w:hAnsi="Cambria"/>
          <w:sz w:val="24"/>
          <w:szCs w:val="24"/>
        </w:rPr>
        <w:t>não o interesse da coletividade. Nesse caso, não</w:t>
      </w:r>
      <w:r w:rsidR="00AD5809">
        <w:rPr>
          <w:rFonts w:ascii="Cambria" w:hAnsi="Cambria"/>
          <w:sz w:val="24"/>
          <w:szCs w:val="24"/>
        </w:rPr>
        <w:t xml:space="preserve"> possui supremacia sobre o particular. Ou seja, as contas da Prefeitura e repasses federais são direitos disponíveis, já que se enquadram nos interesses públicos secundários.</w:t>
      </w:r>
    </w:p>
    <w:p w:rsidR="00520A74" w:rsidRDefault="00520A74" w:rsidP="00744038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Desse mo</w:t>
      </w:r>
      <w:r w:rsidR="00CE3AC7">
        <w:rPr>
          <w:rFonts w:ascii="Cambria" w:hAnsi="Cambria"/>
          <w:sz w:val="24"/>
          <w:szCs w:val="24"/>
        </w:rPr>
        <w:t>do, requer a concessão de Tutela Provisória Cautelar, objetivando o bloqueio de contas da Prefeitura Municipal de Campina Grande-PB</w:t>
      </w:r>
      <w:r w:rsidR="009F140E">
        <w:rPr>
          <w:rFonts w:ascii="Cambria" w:hAnsi="Cambria"/>
          <w:sz w:val="24"/>
          <w:szCs w:val="24"/>
        </w:rPr>
        <w:t xml:space="preserve"> e repasses federais</w:t>
      </w:r>
      <w:r w:rsidR="00AD5809">
        <w:rPr>
          <w:rFonts w:ascii="Cambria" w:hAnsi="Cambria"/>
          <w:sz w:val="24"/>
          <w:szCs w:val="24"/>
        </w:rPr>
        <w:t>,</w:t>
      </w:r>
      <w:r w:rsidR="009F140E">
        <w:rPr>
          <w:rFonts w:ascii="Cambria" w:hAnsi="Cambria"/>
          <w:sz w:val="24"/>
          <w:szCs w:val="24"/>
        </w:rPr>
        <w:t xml:space="preserve"> como</w:t>
      </w:r>
      <w:r w:rsidR="00CE3AC7">
        <w:rPr>
          <w:rFonts w:ascii="Cambria" w:hAnsi="Cambria"/>
          <w:sz w:val="24"/>
          <w:szCs w:val="24"/>
        </w:rPr>
        <w:t xml:space="preserve"> meio de garantir o cu</w:t>
      </w:r>
      <w:r w:rsidR="009F140E">
        <w:rPr>
          <w:rFonts w:ascii="Cambria" w:hAnsi="Cambria"/>
          <w:sz w:val="24"/>
          <w:szCs w:val="24"/>
        </w:rPr>
        <w:t>mprimento da obrigação em questã</w:t>
      </w:r>
      <w:r w:rsidR="00CE3AC7">
        <w:rPr>
          <w:rFonts w:ascii="Cambria" w:hAnsi="Cambria"/>
          <w:sz w:val="24"/>
          <w:szCs w:val="24"/>
        </w:rPr>
        <w:t>o, já que, diante do fatos expostos, estão presentes os requisitos do artigo 300, do CPC.</w:t>
      </w:r>
    </w:p>
    <w:p w:rsidR="0010690B" w:rsidRPr="00AB11F1" w:rsidRDefault="0010690B" w:rsidP="00307AC3">
      <w:pPr>
        <w:spacing w:line="360" w:lineRule="auto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6C14C3" w:rsidRDefault="006C14C3" w:rsidP="00307AC3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307AC3" w:rsidRPr="00307AC3" w:rsidRDefault="0074317F" w:rsidP="00307AC3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IV</w:t>
      </w:r>
      <w:r w:rsidR="00307AC3" w:rsidRPr="00307AC3">
        <w:rPr>
          <w:rFonts w:ascii="Cambria" w:hAnsi="Cambria"/>
          <w:b/>
          <w:sz w:val="24"/>
          <w:szCs w:val="24"/>
        </w:rPr>
        <w:t xml:space="preserve"> – DO JULGAMENTO ANTECIPADO DE MÉRITO</w:t>
      </w:r>
    </w:p>
    <w:p w:rsidR="00A27793" w:rsidRDefault="00A27793" w:rsidP="00A27793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 relação ao julgamento antecipado de mérito, o</w:t>
      </w:r>
      <w:r w:rsidR="00AA49D1">
        <w:rPr>
          <w:rFonts w:ascii="Cambria" w:hAnsi="Cambria"/>
          <w:sz w:val="24"/>
          <w:szCs w:val="24"/>
        </w:rPr>
        <w:t xml:space="preserve"> renomado autor processualista </w:t>
      </w:r>
      <w:proofErr w:type="spellStart"/>
      <w:r>
        <w:rPr>
          <w:rFonts w:ascii="Cambria" w:hAnsi="Cambria"/>
          <w:sz w:val="24"/>
          <w:szCs w:val="24"/>
        </w:rPr>
        <w:t>Fredie</w:t>
      </w:r>
      <w:proofErr w:type="spellEnd"/>
      <w:r>
        <w:rPr>
          <w:rFonts w:ascii="Cambria" w:hAnsi="Cambria"/>
          <w:sz w:val="24"/>
          <w:szCs w:val="24"/>
        </w:rPr>
        <w:t xml:space="preserve"> Didier Jr. (</w:t>
      </w:r>
      <w:r w:rsidR="00546714">
        <w:rPr>
          <w:rFonts w:ascii="Cambria" w:hAnsi="Cambria"/>
          <w:sz w:val="24"/>
          <w:szCs w:val="24"/>
        </w:rPr>
        <w:t xml:space="preserve">Didier Jr., </w:t>
      </w:r>
      <w:proofErr w:type="spellStart"/>
      <w:r w:rsidR="00546714">
        <w:rPr>
          <w:rFonts w:ascii="Cambria" w:hAnsi="Cambria"/>
          <w:sz w:val="24"/>
          <w:szCs w:val="24"/>
        </w:rPr>
        <w:t>Fredie</w:t>
      </w:r>
      <w:proofErr w:type="spellEnd"/>
      <w:r w:rsidR="00546714">
        <w:rPr>
          <w:rFonts w:ascii="Cambria" w:hAnsi="Cambria"/>
          <w:sz w:val="24"/>
          <w:szCs w:val="24"/>
        </w:rPr>
        <w:t xml:space="preserve">. Curso de direito processual civil: introdução ao direito processual civil, parte geral e processo de conhecimento / </w:t>
      </w:r>
      <w:proofErr w:type="spellStart"/>
      <w:r w:rsidR="00546714">
        <w:rPr>
          <w:rFonts w:ascii="Cambria" w:hAnsi="Cambria"/>
          <w:sz w:val="24"/>
          <w:szCs w:val="24"/>
        </w:rPr>
        <w:t>Fredie</w:t>
      </w:r>
      <w:proofErr w:type="spellEnd"/>
      <w:r w:rsidR="00546714">
        <w:rPr>
          <w:rFonts w:ascii="Cambria" w:hAnsi="Cambria"/>
          <w:sz w:val="24"/>
          <w:szCs w:val="24"/>
        </w:rPr>
        <w:t xml:space="preserve"> Didier Jr. – 17. Ed. – Salvador: Ed. </w:t>
      </w:r>
      <w:proofErr w:type="spellStart"/>
      <w:r w:rsidR="00546714">
        <w:rPr>
          <w:rFonts w:ascii="Cambria" w:hAnsi="Cambria"/>
          <w:sz w:val="24"/>
          <w:szCs w:val="24"/>
        </w:rPr>
        <w:t>JusPodivm</w:t>
      </w:r>
      <w:proofErr w:type="spellEnd"/>
      <w:r w:rsidR="00546714">
        <w:rPr>
          <w:rFonts w:ascii="Cambria" w:hAnsi="Cambria"/>
          <w:sz w:val="24"/>
          <w:szCs w:val="24"/>
        </w:rPr>
        <w:t>, 2015, p. 688)</w:t>
      </w:r>
      <w:r>
        <w:rPr>
          <w:rFonts w:ascii="Cambria" w:hAnsi="Cambria"/>
          <w:sz w:val="24"/>
          <w:szCs w:val="24"/>
        </w:rPr>
        <w:t xml:space="preserve"> afirma: </w:t>
      </w:r>
    </w:p>
    <w:p w:rsidR="00AA49D1" w:rsidRPr="00A27793" w:rsidRDefault="00A27793" w:rsidP="00A27793">
      <w:pPr>
        <w:spacing w:line="276" w:lineRule="auto"/>
        <w:ind w:left="2268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“O julgamento antecipado é uma decisão de mérito, fundada em cognição exauriente, proferida após a fase de saneamento do processo, em que </w:t>
      </w:r>
      <w:r w:rsidRPr="00A27793">
        <w:rPr>
          <w:rFonts w:ascii="Cambria" w:hAnsi="Cambria"/>
          <w:b/>
          <w:sz w:val="24"/>
          <w:szCs w:val="24"/>
          <w:u w:val="single"/>
        </w:rPr>
        <w:t>o magistrado reconhece a desnecessidade de produção de mais provas em audiência de instrução e julgamento (provas orais, perícia e inspeção judicial).”</w:t>
      </w:r>
    </w:p>
    <w:p w:rsidR="00743F96" w:rsidRDefault="00A27793" w:rsidP="00210FDF">
      <w:pPr>
        <w:spacing w:line="276" w:lineRule="auto"/>
        <w:ind w:left="226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***</w:t>
      </w:r>
    </w:p>
    <w:p w:rsidR="00FE7F53" w:rsidRDefault="00FE7F53" w:rsidP="00744038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</w:p>
    <w:p w:rsidR="00357C37" w:rsidRDefault="00A27793" w:rsidP="00744038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Tratando do mesmo tema</w:t>
      </w:r>
      <w:r w:rsidR="00307AC3">
        <w:rPr>
          <w:rFonts w:ascii="Cambria" w:hAnsi="Cambria"/>
          <w:sz w:val="24"/>
          <w:szCs w:val="24"/>
        </w:rPr>
        <w:t>, o Código de Processo C</w:t>
      </w:r>
      <w:r w:rsidR="00F721A4">
        <w:rPr>
          <w:rFonts w:ascii="Cambria" w:hAnsi="Cambria"/>
          <w:sz w:val="24"/>
          <w:szCs w:val="24"/>
        </w:rPr>
        <w:t>ivil deixou claro as hipóteses em que ocorrerá o julgamento antecipado de mérito da ação</w:t>
      </w:r>
      <w:r w:rsidR="00307AC3">
        <w:rPr>
          <w:rFonts w:ascii="Cambria" w:hAnsi="Cambria"/>
          <w:sz w:val="24"/>
          <w:szCs w:val="24"/>
        </w:rPr>
        <w:t>:</w:t>
      </w:r>
    </w:p>
    <w:p w:rsidR="00307AC3" w:rsidRPr="00307AC3" w:rsidRDefault="00307AC3" w:rsidP="00307AC3">
      <w:pPr>
        <w:spacing w:before="100" w:beforeAutospacing="1" w:after="100" w:afterAutospacing="1" w:line="240" w:lineRule="auto"/>
        <w:ind w:left="2268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  <w:r w:rsidRPr="00307AC3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Art. 355. O juiz julgará antecipadamente o pedido, proferindo sentença com resolução de mérito, quando:</w:t>
      </w:r>
    </w:p>
    <w:p w:rsidR="00307AC3" w:rsidRPr="00307AC3" w:rsidRDefault="00307AC3" w:rsidP="00307AC3">
      <w:pPr>
        <w:spacing w:before="100" w:beforeAutospacing="1" w:after="100" w:afterAutospacing="1" w:line="240" w:lineRule="auto"/>
        <w:ind w:left="2268"/>
        <w:jc w:val="both"/>
        <w:rPr>
          <w:rFonts w:ascii="Cambria" w:eastAsia="Times New Roman" w:hAnsi="Cambria" w:cs="Arial"/>
          <w:b/>
          <w:color w:val="000000"/>
          <w:sz w:val="24"/>
          <w:szCs w:val="24"/>
          <w:u w:val="single"/>
          <w:lang w:eastAsia="pt-BR"/>
        </w:rPr>
      </w:pPr>
      <w:bookmarkStart w:id="2" w:name="art355i"/>
      <w:bookmarkEnd w:id="2"/>
      <w:r w:rsidRPr="00307AC3">
        <w:rPr>
          <w:rFonts w:ascii="Cambria" w:eastAsia="Times New Roman" w:hAnsi="Cambria" w:cs="Arial"/>
          <w:b/>
          <w:color w:val="000000"/>
          <w:sz w:val="24"/>
          <w:szCs w:val="24"/>
          <w:u w:val="single"/>
          <w:lang w:eastAsia="pt-BR"/>
        </w:rPr>
        <w:t>I - não houver necessidade de produção de outras provas;</w:t>
      </w:r>
    </w:p>
    <w:p w:rsidR="00307AC3" w:rsidRPr="00307AC3" w:rsidRDefault="00307AC3" w:rsidP="00307AC3">
      <w:pPr>
        <w:spacing w:before="100" w:beforeAutospacing="1" w:after="100" w:afterAutospacing="1" w:line="240" w:lineRule="auto"/>
        <w:ind w:left="2268"/>
        <w:jc w:val="both"/>
        <w:rPr>
          <w:rFonts w:ascii="Cambria" w:eastAsia="Times New Roman" w:hAnsi="Cambria" w:cs="Arial"/>
          <w:b/>
          <w:color w:val="000000"/>
          <w:sz w:val="24"/>
          <w:szCs w:val="24"/>
          <w:u w:val="single"/>
          <w:lang w:eastAsia="pt-BR"/>
        </w:rPr>
      </w:pPr>
      <w:bookmarkStart w:id="3" w:name="art355ii"/>
      <w:bookmarkEnd w:id="3"/>
      <w:r w:rsidRPr="00307AC3">
        <w:rPr>
          <w:rFonts w:ascii="Cambria" w:eastAsia="Times New Roman" w:hAnsi="Cambria" w:cs="Arial"/>
          <w:b/>
          <w:color w:val="000000"/>
          <w:sz w:val="24"/>
          <w:szCs w:val="24"/>
          <w:u w:val="single"/>
          <w:lang w:eastAsia="pt-BR"/>
        </w:rPr>
        <w:t xml:space="preserve">II - o réu for revel, ocorrer o efeito previsto </w:t>
      </w:r>
      <w:r w:rsidRPr="00307AC3">
        <w:rPr>
          <w:rFonts w:ascii="Cambria" w:eastAsia="Times New Roman" w:hAnsi="Cambria" w:cs="Arial"/>
          <w:b/>
          <w:color w:val="000000" w:themeColor="text1"/>
          <w:sz w:val="24"/>
          <w:szCs w:val="24"/>
          <w:u w:val="single"/>
          <w:lang w:eastAsia="pt-BR"/>
        </w:rPr>
        <w:t>no </w:t>
      </w:r>
      <w:hyperlink r:id="rId7" w:anchor="art344" w:history="1">
        <w:r w:rsidRPr="00307AC3">
          <w:rPr>
            <w:rFonts w:ascii="Cambria" w:eastAsia="Times New Roman" w:hAnsi="Cambria" w:cs="Arial"/>
            <w:b/>
            <w:color w:val="000000" w:themeColor="text1"/>
            <w:sz w:val="24"/>
            <w:szCs w:val="24"/>
            <w:u w:val="single"/>
            <w:lang w:eastAsia="pt-BR"/>
          </w:rPr>
          <w:t>art. 344 </w:t>
        </w:r>
      </w:hyperlink>
      <w:r w:rsidRPr="00307AC3">
        <w:rPr>
          <w:rFonts w:ascii="Cambria" w:eastAsia="Times New Roman" w:hAnsi="Cambria" w:cs="Arial"/>
          <w:b/>
          <w:color w:val="000000" w:themeColor="text1"/>
          <w:sz w:val="24"/>
          <w:szCs w:val="24"/>
          <w:u w:val="single"/>
          <w:lang w:eastAsia="pt-BR"/>
        </w:rPr>
        <w:t>e não houver requerimento de prova, na forma do a</w:t>
      </w:r>
      <w:r w:rsidR="00F721A4">
        <w:rPr>
          <w:rFonts w:ascii="Cambria" w:eastAsia="Times New Roman" w:hAnsi="Cambria" w:cs="Arial"/>
          <w:b/>
          <w:color w:val="000000" w:themeColor="text1"/>
          <w:sz w:val="24"/>
          <w:szCs w:val="24"/>
          <w:u w:val="single"/>
          <w:lang w:eastAsia="pt-BR"/>
        </w:rPr>
        <w:t>rt. 349</w:t>
      </w:r>
      <w:r w:rsidRPr="00307AC3">
        <w:rPr>
          <w:rFonts w:ascii="Cambria" w:eastAsia="Times New Roman" w:hAnsi="Cambria" w:cs="Arial"/>
          <w:b/>
          <w:color w:val="000000" w:themeColor="text1"/>
          <w:sz w:val="24"/>
          <w:szCs w:val="24"/>
          <w:u w:val="single"/>
          <w:lang w:eastAsia="pt-BR"/>
        </w:rPr>
        <w:t>.</w:t>
      </w:r>
    </w:p>
    <w:p w:rsidR="00307AC3" w:rsidRPr="00307AC3" w:rsidRDefault="00307AC3" w:rsidP="00307AC3">
      <w:pPr>
        <w:spacing w:before="100" w:beforeAutospacing="1" w:after="100" w:afterAutospacing="1" w:line="240" w:lineRule="auto"/>
        <w:ind w:left="2268"/>
        <w:jc w:val="center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***</w:t>
      </w:r>
    </w:p>
    <w:p w:rsidR="00FE7F53" w:rsidRDefault="00FE7F53" w:rsidP="00744038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</w:p>
    <w:p w:rsidR="00307AC3" w:rsidRDefault="00743F96" w:rsidP="00744038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 presente caso, </w:t>
      </w:r>
      <w:r w:rsidR="00F721A4">
        <w:rPr>
          <w:rFonts w:ascii="Cambria" w:hAnsi="Cambria"/>
          <w:sz w:val="24"/>
          <w:szCs w:val="24"/>
        </w:rPr>
        <w:t xml:space="preserve">cumpre mencionar que, apesar da parte ré ter sido devidamente citada para contestar defesa dentro do prazo legal, em momento algum apresentou manifestação </w:t>
      </w:r>
      <w:r w:rsidR="00F721A4" w:rsidRPr="00F721A4">
        <w:rPr>
          <w:rFonts w:ascii="Cambria" w:hAnsi="Cambria"/>
          <w:sz w:val="24"/>
          <w:szCs w:val="24"/>
          <w:highlight w:val="yellow"/>
        </w:rPr>
        <w:t>(doc. Anexo).</w:t>
      </w:r>
      <w:r w:rsidR="00F721A4">
        <w:rPr>
          <w:rFonts w:ascii="Cambria" w:hAnsi="Cambria"/>
          <w:sz w:val="24"/>
          <w:szCs w:val="24"/>
        </w:rPr>
        <w:t xml:space="preserve"> Consequentemente, ocorreu </w:t>
      </w:r>
      <w:proofErr w:type="spellStart"/>
      <w:r w:rsidR="00F721A4">
        <w:rPr>
          <w:rFonts w:ascii="Cambria" w:hAnsi="Cambria"/>
          <w:sz w:val="24"/>
          <w:szCs w:val="24"/>
        </w:rPr>
        <w:t>a</w:t>
      </w:r>
      <w:proofErr w:type="spellEnd"/>
      <w:r w:rsidR="00F721A4">
        <w:rPr>
          <w:rFonts w:ascii="Cambria" w:hAnsi="Cambria"/>
          <w:sz w:val="24"/>
          <w:szCs w:val="24"/>
        </w:rPr>
        <w:t xml:space="preserve"> revelia, hipótese prevista no artigo supracitado.</w:t>
      </w:r>
    </w:p>
    <w:p w:rsidR="00F721A4" w:rsidRDefault="00F721A4" w:rsidP="00744038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</w:t>
      </w:r>
      <w:r w:rsidR="0090288F">
        <w:rPr>
          <w:rFonts w:ascii="Cambria" w:hAnsi="Cambria"/>
          <w:sz w:val="24"/>
          <w:szCs w:val="24"/>
        </w:rPr>
        <w:t xml:space="preserve">lém disso, na petição inicial, foram juntados todos os documentos que comprovam o direito do autor, não havendo a necessidade de produção de novas provas. Nesse ponto, vale destacar que um desses documentos é uma confissão de dívida, onde a Prefeitura Municipal de Campina Grande-PB se compromete a sanar as pendências em relação aos contratos administrativos firmados entre as partes. </w:t>
      </w:r>
    </w:p>
    <w:p w:rsidR="00471CF5" w:rsidRDefault="00471CF5" w:rsidP="00744038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Portanto, de acordo com o exposto, com base no artigo 355, do CPC, fica claro que o juiz deverá julgar antecipadamente o mérito da causa, já qu</w:t>
      </w:r>
      <w:r w:rsidR="00210FDF">
        <w:rPr>
          <w:rFonts w:ascii="Cambria" w:hAnsi="Cambria"/>
          <w:sz w:val="24"/>
          <w:szCs w:val="24"/>
        </w:rPr>
        <w:t>e há</w:t>
      </w:r>
      <w:r>
        <w:rPr>
          <w:rFonts w:ascii="Cambria" w:hAnsi="Cambria"/>
          <w:sz w:val="24"/>
          <w:szCs w:val="24"/>
        </w:rPr>
        <w:t xml:space="preserve"> os requisitos necessários.</w:t>
      </w:r>
    </w:p>
    <w:p w:rsidR="00D76771" w:rsidRDefault="00D76771" w:rsidP="00744038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</w:p>
    <w:p w:rsidR="00D76771" w:rsidRDefault="0074317F" w:rsidP="00D76771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</w:t>
      </w:r>
      <w:r w:rsidR="00D76771">
        <w:rPr>
          <w:rFonts w:ascii="Cambria" w:hAnsi="Cambria"/>
          <w:b/>
          <w:sz w:val="24"/>
          <w:szCs w:val="24"/>
        </w:rPr>
        <w:t xml:space="preserve"> – DOS PEDIDOS</w:t>
      </w:r>
    </w:p>
    <w:p w:rsidR="00D76771" w:rsidRDefault="00D76771" w:rsidP="00D76771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Diante do exposto, requer:</w:t>
      </w:r>
    </w:p>
    <w:p w:rsidR="00210FDF" w:rsidRDefault="00210FDF" w:rsidP="00210FD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210FDF">
        <w:rPr>
          <w:rFonts w:ascii="Cambria" w:hAnsi="Cambria"/>
          <w:sz w:val="24"/>
          <w:szCs w:val="24"/>
        </w:rPr>
        <w:t>A concessão da Tutela Provisória Cautelar, objetivando o bloqueio de contas da Prefeitura Municipal de Campina Grande-PB e repasses federais, como meio de garantir o cumprimento da obrigação em questão, já que, diante do fatos expostos, estão presentes os r</w:t>
      </w:r>
      <w:r>
        <w:rPr>
          <w:rFonts w:ascii="Cambria" w:hAnsi="Cambria"/>
          <w:sz w:val="24"/>
          <w:szCs w:val="24"/>
        </w:rPr>
        <w:t>equisitos do artigo 300, do CPC;</w:t>
      </w:r>
    </w:p>
    <w:p w:rsidR="0010690B" w:rsidRPr="00E679BE" w:rsidRDefault="00E679BE" w:rsidP="00E679B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E679BE">
        <w:rPr>
          <w:rFonts w:ascii="Cambria" w:hAnsi="Cambria"/>
          <w:sz w:val="24"/>
          <w:szCs w:val="24"/>
        </w:rPr>
        <w:t xml:space="preserve"> notificação do Ministério Público, a fim de fiscalizar o motivo de tais inadimplementos por parte do</w:t>
      </w:r>
      <w:r>
        <w:rPr>
          <w:rFonts w:ascii="Cambria" w:hAnsi="Cambria"/>
          <w:sz w:val="24"/>
          <w:szCs w:val="24"/>
        </w:rPr>
        <w:t xml:space="preserve"> Município de Campina Grande-PB;</w:t>
      </w:r>
    </w:p>
    <w:p w:rsidR="00210FDF" w:rsidRPr="00C84E2F" w:rsidRDefault="00210FDF" w:rsidP="00210FD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julgamento antecipado do mérito da causa, com base no artigo 355, do CPC, já que há os requisitos previstos no a</w:t>
      </w:r>
      <w:r w:rsidRPr="00C84E2F">
        <w:rPr>
          <w:rFonts w:ascii="Cambria" w:hAnsi="Cambria"/>
          <w:sz w:val="24"/>
          <w:szCs w:val="24"/>
        </w:rPr>
        <w:t>rtigo;</w:t>
      </w:r>
    </w:p>
    <w:p w:rsidR="00210FDF" w:rsidRPr="00C84E2F" w:rsidRDefault="00210FDF" w:rsidP="00210FDF">
      <w:pPr>
        <w:spacing w:line="240" w:lineRule="auto"/>
        <w:jc w:val="right"/>
        <w:rPr>
          <w:rFonts w:ascii="Cambria" w:hAnsi="Cambria" w:cs="Times New Roman"/>
          <w:sz w:val="24"/>
          <w:szCs w:val="24"/>
        </w:rPr>
      </w:pPr>
      <w:r w:rsidRPr="00C84E2F">
        <w:rPr>
          <w:rFonts w:ascii="Cambria" w:hAnsi="Cambria" w:cs="Times New Roman"/>
          <w:sz w:val="24"/>
          <w:szCs w:val="24"/>
        </w:rPr>
        <w:t>Pede deferimento.</w:t>
      </w:r>
    </w:p>
    <w:p w:rsidR="00210FDF" w:rsidRPr="00C84E2F" w:rsidRDefault="00210FDF" w:rsidP="00210FDF">
      <w:pPr>
        <w:spacing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210FDF" w:rsidRPr="00C84E2F" w:rsidRDefault="00C30345" w:rsidP="00210FDF">
      <w:pPr>
        <w:spacing w:line="240" w:lineRule="auto"/>
        <w:jc w:val="right"/>
        <w:rPr>
          <w:rFonts w:ascii="Cambria" w:hAnsi="Cambria" w:cs="Times New Roman"/>
          <w:sz w:val="24"/>
          <w:szCs w:val="24"/>
        </w:rPr>
      </w:pPr>
      <w:r w:rsidRPr="00C84E2F">
        <w:rPr>
          <w:rFonts w:ascii="Cambria" w:hAnsi="Cambria" w:cs="Times New Roman"/>
          <w:sz w:val="24"/>
          <w:szCs w:val="24"/>
        </w:rPr>
        <w:t>Brasília-DF</w:t>
      </w:r>
      <w:r w:rsidR="002F7909">
        <w:rPr>
          <w:rFonts w:ascii="Cambria" w:hAnsi="Cambria" w:cs="Times New Roman"/>
          <w:sz w:val="24"/>
          <w:szCs w:val="24"/>
        </w:rPr>
        <w:t>, 30 de janeiro de 2020</w:t>
      </w:r>
      <w:r w:rsidR="00210FDF" w:rsidRPr="00C84E2F">
        <w:rPr>
          <w:rFonts w:ascii="Cambria" w:hAnsi="Cambria" w:cs="Times New Roman"/>
          <w:sz w:val="24"/>
          <w:szCs w:val="24"/>
        </w:rPr>
        <w:t>.</w:t>
      </w:r>
    </w:p>
    <w:p w:rsidR="00210FDF" w:rsidRPr="00C84E2F" w:rsidRDefault="00210FDF" w:rsidP="00210FDF">
      <w:pPr>
        <w:spacing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210FDF" w:rsidRPr="00C84E2F" w:rsidRDefault="00210FDF" w:rsidP="00210FDF">
      <w:pPr>
        <w:spacing w:line="240" w:lineRule="auto"/>
        <w:jc w:val="center"/>
        <w:rPr>
          <w:rFonts w:ascii="Cambria" w:hAnsi="Cambria" w:cs="Times New Roman"/>
          <w:sz w:val="24"/>
          <w:szCs w:val="24"/>
        </w:rPr>
      </w:pPr>
      <w:r w:rsidRPr="00C84E2F">
        <w:rPr>
          <w:rFonts w:ascii="Cambria" w:hAnsi="Cambria" w:cs="Times New Roman"/>
          <w:sz w:val="24"/>
          <w:szCs w:val="24"/>
        </w:rPr>
        <w:t>Antonio Augusto Pires Brandão</w:t>
      </w:r>
    </w:p>
    <w:p w:rsidR="00210FDF" w:rsidRPr="00C84E2F" w:rsidRDefault="00210FDF" w:rsidP="00210FDF">
      <w:pPr>
        <w:spacing w:line="240" w:lineRule="auto"/>
        <w:jc w:val="center"/>
        <w:rPr>
          <w:rFonts w:ascii="Cambria" w:hAnsi="Cambria" w:cs="Times New Roman"/>
          <w:sz w:val="24"/>
          <w:szCs w:val="24"/>
        </w:rPr>
      </w:pPr>
      <w:r w:rsidRPr="00C84E2F">
        <w:rPr>
          <w:rFonts w:ascii="Cambria" w:hAnsi="Cambria" w:cs="Times New Roman"/>
          <w:sz w:val="24"/>
          <w:szCs w:val="24"/>
        </w:rPr>
        <w:t>OAB</w:t>
      </w:r>
      <w:r w:rsidR="002F7909">
        <w:rPr>
          <w:rFonts w:ascii="Cambria" w:hAnsi="Cambria" w:cs="Times New Roman"/>
          <w:sz w:val="24"/>
          <w:szCs w:val="24"/>
        </w:rPr>
        <w:t>/DF</w:t>
      </w:r>
      <w:r w:rsidRPr="00C84E2F">
        <w:rPr>
          <w:rFonts w:ascii="Cambria" w:hAnsi="Cambria" w:cs="Times New Roman"/>
          <w:sz w:val="24"/>
          <w:szCs w:val="24"/>
        </w:rPr>
        <w:t xml:space="preserve"> nº </w:t>
      </w:r>
      <w:r w:rsidR="002F7909">
        <w:rPr>
          <w:rFonts w:ascii="Cambria" w:hAnsi="Cambria" w:cstheme="minorHAnsi"/>
          <w:sz w:val="24"/>
          <w:szCs w:val="24"/>
        </w:rPr>
        <w:t>63286</w:t>
      </w:r>
    </w:p>
    <w:p w:rsidR="00210FDF" w:rsidRPr="00C84E2F" w:rsidRDefault="00210FDF" w:rsidP="00210FDF">
      <w:pPr>
        <w:spacing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FE7F53" w:rsidRPr="00C84E2F" w:rsidRDefault="00FE7F53" w:rsidP="00210FDF">
      <w:pPr>
        <w:spacing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210FDF" w:rsidRPr="00210FDF" w:rsidRDefault="00210FDF" w:rsidP="00210FD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210FDF" w:rsidRPr="00210FDF" w:rsidRDefault="00210FDF" w:rsidP="00210FD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10FDF">
        <w:rPr>
          <w:rFonts w:ascii="Cambria" w:hAnsi="Cambria"/>
          <w:sz w:val="24"/>
          <w:szCs w:val="24"/>
        </w:rPr>
        <w:t xml:space="preserve"> </w:t>
      </w:r>
    </w:p>
    <w:p w:rsidR="00D76771" w:rsidRPr="00210FDF" w:rsidRDefault="00D76771" w:rsidP="00210FD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F721A4" w:rsidRPr="00357C37" w:rsidRDefault="00F721A4" w:rsidP="00744038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</w:p>
    <w:sectPr w:rsidR="00F721A4" w:rsidRPr="00357C3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DAB" w:rsidRDefault="002F0DAB" w:rsidP="00091A58">
      <w:pPr>
        <w:spacing w:after="0" w:line="240" w:lineRule="auto"/>
      </w:pPr>
      <w:r>
        <w:separator/>
      </w:r>
    </w:p>
  </w:endnote>
  <w:endnote w:type="continuationSeparator" w:id="0">
    <w:p w:rsidR="002F0DAB" w:rsidRDefault="002F0DAB" w:rsidP="0009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DAB" w:rsidRDefault="002F0DAB" w:rsidP="00091A58">
      <w:pPr>
        <w:spacing w:after="0" w:line="240" w:lineRule="auto"/>
      </w:pPr>
      <w:r>
        <w:separator/>
      </w:r>
    </w:p>
  </w:footnote>
  <w:footnote w:type="continuationSeparator" w:id="0">
    <w:p w:rsidR="002F0DAB" w:rsidRDefault="002F0DAB" w:rsidP="0009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A58" w:rsidRDefault="00091A58" w:rsidP="00091A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1305496" wp14:editId="4629DFF9">
          <wp:extent cx="3103250" cy="1752600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706" cy="1754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3B5C"/>
    <w:multiLevelType w:val="hybridMultilevel"/>
    <w:tmpl w:val="7D605516"/>
    <w:lvl w:ilvl="0" w:tplc="2DC2F688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450249"/>
    <w:multiLevelType w:val="hybridMultilevel"/>
    <w:tmpl w:val="7C4E5DB0"/>
    <w:lvl w:ilvl="0" w:tplc="56DA40E8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58"/>
    <w:rsid w:val="000471C7"/>
    <w:rsid w:val="00091A58"/>
    <w:rsid w:val="00101603"/>
    <w:rsid w:val="0010690B"/>
    <w:rsid w:val="00143C9E"/>
    <w:rsid w:val="001E187D"/>
    <w:rsid w:val="001E25A3"/>
    <w:rsid w:val="00210FDF"/>
    <w:rsid w:val="00252045"/>
    <w:rsid w:val="00267836"/>
    <w:rsid w:val="00276822"/>
    <w:rsid w:val="002B748E"/>
    <w:rsid w:val="002C6736"/>
    <w:rsid w:val="002D29AD"/>
    <w:rsid w:val="002F0DAB"/>
    <w:rsid w:val="002F1734"/>
    <w:rsid w:val="002F7909"/>
    <w:rsid w:val="00307AC3"/>
    <w:rsid w:val="00326623"/>
    <w:rsid w:val="00357C37"/>
    <w:rsid w:val="00392881"/>
    <w:rsid w:val="003C6D42"/>
    <w:rsid w:val="00471CF5"/>
    <w:rsid w:val="004B5475"/>
    <w:rsid w:val="004E34C9"/>
    <w:rsid w:val="004F3627"/>
    <w:rsid w:val="00520A74"/>
    <w:rsid w:val="00546714"/>
    <w:rsid w:val="0058144D"/>
    <w:rsid w:val="005B21B2"/>
    <w:rsid w:val="005C7580"/>
    <w:rsid w:val="00610144"/>
    <w:rsid w:val="00610515"/>
    <w:rsid w:val="00610FC1"/>
    <w:rsid w:val="00643FF2"/>
    <w:rsid w:val="00664130"/>
    <w:rsid w:val="006C14C3"/>
    <w:rsid w:val="0072010F"/>
    <w:rsid w:val="0074317F"/>
    <w:rsid w:val="00743F96"/>
    <w:rsid w:val="00744038"/>
    <w:rsid w:val="00771826"/>
    <w:rsid w:val="007C1C54"/>
    <w:rsid w:val="007D548E"/>
    <w:rsid w:val="007E560B"/>
    <w:rsid w:val="00850E44"/>
    <w:rsid w:val="0086600D"/>
    <w:rsid w:val="00882DA0"/>
    <w:rsid w:val="008D7CC0"/>
    <w:rsid w:val="0090288F"/>
    <w:rsid w:val="00926632"/>
    <w:rsid w:val="009831AC"/>
    <w:rsid w:val="009C4092"/>
    <w:rsid w:val="009F08AE"/>
    <w:rsid w:val="009F140E"/>
    <w:rsid w:val="009F49CA"/>
    <w:rsid w:val="00A27793"/>
    <w:rsid w:val="00A307A2"/>
    <w:rsid w:val="00A45985"/>
    <w:rsid w:val="00A63F93"/>
    <w:rsid w:val="00AA49D1"/>
    <w:rsid w:val="00AB11F1"/>
    <w:rsid w:val="00AB709F"/>
    <w:rsid w:val="00AD5809"/>
    <w:rsid w:val="00AE4D19"/>
    <w:rsid w:val="00B14BA3"/>
    <w:rsid w:val="00C30345"/>
    <w:rsid w:val="00C65B65"/>
    <w:rsid w:val="00C84E2F"/>
    <w:rsid w:val="00C976C1"/>
    <w:rsid w:val="00CB49C8"/>
    <w:rsid w:val="00CE3AC7"/>
    <w:rsid w:val="00D1116A"/>
    <w:rsid w:val="00D32090"/>
    <w:rsid w:val="00D43F7D"/>
    <w:rsid w:val="00D544C9"/>
    <w:rsid w:val="00D76771"/>
    <w:rsid w:val="00E2186B"/>
    <w:rsid w:val="00E679BE"/>
    <w:rsid w:val="00F721A4"/>
    <w:rsid w:val="00F97923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F78F-81DC-48CF-A39A-03187792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1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A58"/>
  </w:style>
  <w:style w:type="paragraph" w:styleId="Rodap">
    <w:name w:val="footer"/>
    <w:basedOn w:val="Normal"/>
    <w:link w:val="RodapChar"/>
    <w:uiPriority w:val="99"/>
    <w:unhideWhenUsed/>
    <w:rsid w:val="00091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A58"/>
  </w:style>
  <w:style w:type="paragraph" w:customStyle="1" w:styleId="artigo">
    <w:name w:val="artigo"/>
    <w:basedOn w:val="Normal"/>
    <w:rsid w:val="00A4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07AC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76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5-2018/2015/lei/l1310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1172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Vitor</dc:creator>
  <cp:keywords/>
  <dc:description/>
  <cp:lastModifiedBy>Pedro Vitor</cp:lastModifiedBy>
  <cp:revision>7</cp:revision>
  <dcterms:created xsi:type="dcterms:W3CDTF">2020-02-05T02:41:00Z</dcterms:created>
  <dcterms:modified xsi:type="dcterms:W3CDTF">2020-02-05T15:41:00Z</dcterms:modified>
</cp:coreProperties>
</file>